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Приложение </w:t>
      </w:r>
      <w:r w:rsidR="005136BC">
        <w:rPr>
          <w:sz w:val="24"/>
          <w:szCs w:val="26"/>
        </w:rPr>
        <w:t>3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к приказу Министерства строительства, </w:t>
      </w:r>
      <w:r w:rsidR="00906B98">
        <w:rPr>
          <w:sz w:val="24"/>
          <w:szCs w:val="26"/>
        </w:rPr>
        <w:t xml:space="preserve"> </w:t>
      </w:r>
      <w:r w:rsidRPr="00906B98">
        <w:rPr>
          <w:sz w:val="24"/>
          <w:szCs w:val="26"/>
        </w:rPr>
        <w:t xml:space="preserve">жилищно-коммунального хозяйства 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>и энергетики Удмуртской Республики</w:t>
      </w:r>
    </w:p>
    <w:p w:rsidR="00961A10" w:rsidRPr="00906B98" w:rsidRDefault="00961A10" w:rsidP="00157C7B">
      <w:pPr>
        <w:suppressAutoHyphens/>
        <w:ind w:left="9498"/>
        <w:jc w:val="center"/>
        <w:rPr>
          <w:sz w:val="24"/>
          <w:szCs w:val="26"/>
        </w:rPr>
      </w:pPr>
      <w:r w:rsidRPr="00906B98">
        <w:rPr>
          <w:sz w:val="24"/>
          <w:szCs w:val="26"/>
        </w:rPr>
        <w:t xml:space="preserve">от </w:t>
      </w:r>
      <w:r w:rsidR="00ED44F6" w:rsidRPr="00906B98">
        <w:rPr>
          <w:sz w:val="24"/>
          <w:szCs w:val="26"/>
        </w:rPr>
        <w:t>7</w:t>
      </w:r>
      <w:r w:rsidRPr="00906B98">
        <w:rPr>
          <w:sz w:val="24"/>
          <w:szCs w:val="26"/>
        </w:rPr>
        <w:t xml:space="preserve"> </w:t>
      </w:r>
      <w:r w:rsidR="00ED44F6" w:rsidRPr="00906B98">
        <w:rPr>
          <w:sz w:val="24"/>
          <w:szCs w:val="26"/>
        </w:rPr>
        <w:t>августа</w:t>
      </w:r>
      <w:r w:rsidRPr="00906B98">
        <w:rPr>
          <w:sz w:val="24"/>
          <w:szCs w:val="26"/>
        </w:rPr>
        <w:t xml:space="preserve"> 2020 года № 1</w:t>
      </w:r>
      <w:r w:rsidR="00C2431E" w:rsidRPr="00906B98">
        <w:rPr>
          <w:sz w:val="24"/>
          <w:szCs w:val="26"/>
        </w:rPr>
        <w:t>6</w:t>
      </w:r>
      <w:r w:rsidRPr="00906B98">
        <w:rPr>
          <w:sz w:val="24"/>
          <w:szCs w:val="26"/>
        </w:rPr>
        <w:t>/1</w:t>
      </w:r>
    </w:p>
    <w:p w:rsidR="00A74081" w:rsidRPr="00157C7B" w:rsidRDefault="00157C7B" w:rsidP="00157C7B">
      <w:pPr>
        <w:jc w:val="center"/>
        <w:rPr>
          <w:b/>
          <w:sz w:val="24"/>
          <w:szCs w:val="24"/>
        </w:rPr>
      </w:pPr>
      <w:r w:rsidRPr="00157C7B">
        <w:rPr>
          <w:b/>
          <w:sz w:val="24"/>
          <w:szCs w:val="24"/>
        </w:rPr>
        <w:t>СТАВКИ</w:t>
      </w:r>
    </w:p>
    <w:p w:rsidR="00906B98" w:rsidRDefault="00CC47C4" w:rsidP="00157C7B">
      <w:pPr>
        <w:jc w:val="center"/>
        <w:rPr>
          <w:b/>
          <w:sz w:val="24"/>
          <w:szCs w:val="24"/>
        </w:rPr>
      </w:pPr>
      <w:r w:rsidRPr="00CC47C4">
        <w:rPr>
          <w:b/>
          <w:sz w:val="24"/>
          <w:szCs w:val="24"/>
        </w:rPr>
        <w:t>за единицу максимальной мощности (руб./кВт) для расчета платы за технологическое присоединение к территориальным распределительным сетям</w:t>
      </w:r>
      <w:r w:rsidR="00D871A4">
        <w:rPr>
          <w:b/>
          <w:sz w:val="24"/>
          <w:szCs w:val="24"/>
        </w:rPr>
        <w:t xml:space="preserve"> на обеспечение средствами коммерческого учета электрической энергии (мощности)</w:t>
      </w:r>
      <w:r w:rsidRPr="00CC47C4">
        <w:rPr>
          <w:b/>
          <w:sz w:val="24"/>
          <w:szCs w:val="24"/>
        </w:rPr>
        <w:t xml:space="preserve"> для случаев технологического присоединения на территории городских населенных пунктов сетевых организаций, осуществляющих деятельность на территории Удмуртской Республики, на уровне напряжения ниже </w:t>
      </w:r>
      <w:r>
        <w:rPr>
          <w:b/>
          <w:sz w:val="24"/>
          <w:szCs w:val="24"/>
        </w:rPr>
        <w:t>20</w:t>
      </w:r>
      <w:r w:rsidRPr="00CC47C4">
        <w:rPr>
          <w:b/>
          <w:sz w:val="24"/>
          <w:szCs w:val="24"/>
        </w:rPr>
        <w:t xml:space="preserve"> кВ и</w:t>
      </w:r>
      <w:r>
        <w:rPr>
          <w:b/>
          <w:sz w:val="24"/>
          <w:szCs w:val="24"/>
        </w:rPr>
        <w:t> </w:t>
      </w:r>
      <w:r w:rsidRPr="00CC47C4">
        <w:rPr>
          <w:b/>
          <w:sz w:val="24"/>
          <w:szCs w:val="24"/>
        </w:rPr>
        <w:t xml:space="preserve">максимальной мощности менее </w:t>
      </w:r>
      <w:r>
        <w:rPr>
          <w:b/>
          <w:sz w:val="24"/>
          <w:szCs w:val="24"/>
        </w:rPr>
        <w:t>670</w:t>
      </w:r>
      <w:r w:rsidRPr="00CC47C4">
        <w:rPr>
          <w:b/>
          <w:sz w:val="24"/>
          <w:szCs w:val="24"/>
        </w:rPr>
        <w:t xml:space="preserve"> кВт</w:t>
      </w:r>
    </w:p>
    <w:p w:rsidR="00D871A4" w:rsidRPr="00D871A4" w:rsidRDefault="00D871A4" w:rsidP="00157C7B">
      <w:pPr>
        <w:jc w:val="center"/>
        <w:rPr>
          <w:b/>
          <w:sz w:val="10"/>
          <w:szCs w:val="24"/>
        </w:rPr>
      </w:pPr>
    </w:p>
    <w:tbl>
      <w:tblPr>
        <w:tblW w:w="15637" w:type="dxa"/>
        <w:tblInd w:w="-176" w:type="dxa"/>
        <w:tblLook w:val="04A0"/>
      </w:tblPr>
      <w:tblGrid>
        <w:gridCol w:w="512"/>
        <w:gridCol w:w="5185"/>
        <w:gridCol w:w="1133"/>
        <w:gridCol w:w="2215"/>
        <w:gridCol w:w="2064"/>
        <w:gridCol w:w="2464"/>
        <w:gridCol w:w="2064"/>
      </w:tblGrid>
      <w:tr w:rsidR="00906B98" w:rsidRPr="00157C7B" w:rsidTr="00906B98">
        <w:trPr>
          <w:trHeight w:val="628"/>
        </w:trPr>
        <w:tc>
          <w:tcPr>
            <w:tcW w:w="56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Наименование стандартизированной тарифной ставки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Единица измерения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Для сетевых организаций, применяющих общую систему налогообложения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Для сетевых организаций, применяющих упрощенную систему налогообложения</w:t>
            </w:r>
          </w:p>
        </w:tc>
      </w:tr>
      <w:tr w:rsidR="00906B98" w:rsidRPr="00157C7B" w:rsidTr="00906B98">
        <w:trPr>
          <w:trHeight w:val="2625"/>
        </w:trPr>
        <w:tc>
          <w:tcPr>
            <w:tcW w:w="569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Размер стандартизированной тарифной ставки для заявителей, присоединяющих Устройства максимальной мощностью не более 150 к</w:t>
            </w:r>
            <w:proofErr w:type="gramStart"/>
            <w:r w:rsidRPr="00906B98">
              <w:rPr>
                <w:sz w:val="19"/>
                <w:szCs w:val="19"/>
              </w:rPr>
              <w:t>Вт вкл</w:t>
            </w:r>
            <w:proofErr w:type="gramEnd"/>
            <w:r w:rsidRPr="00906B98">
              <w:rPr>
                <w:sz w:val="19"/>
                <w:szCs w:val="19"/>
              </w:rPr>
              <w:t>ючительно, с учетом ранее присоединенной мощности (без НДС)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Размер стандартизированной тарифной ставки </w:t>
            </w:r>
            <w:r w:rsidRPr="00906B98">
              <w:rPr>
                <w:sz w:val="19"/>
                <w:szCs w:val="19"/>
              </w:rPr>
              <w:br/>
              <w:t>(без НДС)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Размер стандартизированной тарифной ставки для заявителей, присоединяющих Устройства максимальной мощностью не более 150 к</w:t>
            </w:r>
            <w:proofErr w:type="gramStart"/>
            <w:r w:rsidRPr="00906B98">
              <w:rPr>
                <w:sz w:val="19"/>
                <w:szCs w:val="19"/>
              </w:rPr>
              <w:t>Вт вкл</w:t>
            </w:r>
            <w:proofErr w:type="gramEnd"/>
            <w:r w:rsidRPr="00906B98">
              <w:rPr>
                <w:sz w:val="19"/>
                <w:szCs w:val="19"/>
              </w:rPr>
              <w:t>ючительно, с учетом ранее присоединенной мощности (НДС не облагается)</w:t>
            </w:r>
          </w:p>
        </w:tc>
        <w:tc>
          <w:tcPr>
            <w:tcW w:w="20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Размер стандартизированной тарифной ставки </w:t>
            </w:r>
            <w:r w:rsidRPr="00906B98">
              <w:rPr>
                <w:sz w:val="19"/>
                <w:szCs w:val="19"/>
              </w:rPr>
              <w:br/>
              <w:t>(НДС не облагается)</w:t>
            </w:r>
          </w:p>
        </w:tc>
      </w:tr>
      <w:tr w:rsidR="00906B98" w:rsidRPr="00157C7B" w:rsidTr="00906B98">
        <w:trPr>
          <w:trHeight w:val="324"/>
        </w:trPr>
        <w:tc>
          <w:tcPr>
            <w:tcW w:w="569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880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на </w:t>
            </w:r>
            <w:r w:rsidRPr="003E5D89">
              <w:rPr>
                <w:sz w:val="19"/>
                <w:szCs w:val="19"/>
              </w:rPr>
              <w:t xml:space="preserve">период </w:t>
            </w:r>
            <w:r w:rsidR="003E5D89" w:rsidRPr="003E5D89">
              <w:rPr>
                <w:sz w:val="19"/>
                <w:szCs w:val="19"/>
              </w:rPr>
              <w:t>с 18</w:t>
            </w:r>
            <w:r w:rsidRPr="003E5D89">
              <w:rPr>
                <w:sz w:val="19"/>
                <w:szCs w:val="19"/>
              </w:rPr>
              <w:t>.08</w:t>
            </w:r>
            <w:r w:rsidRPr="00906B98">
              <w:rPr>
                <w:sz w:val="19"/>
                <w:szCs w:val="19"/>
              </w:rPr>
              <w:t>.2020 года по 31.12.2020 года</w:t>
            </w:r>
          </w:p>
        </w:tc>
      </w:tr>
      <w:tr w:rsidR="00906B98" w:rsidRPr="00157C7B" w:rsidTr="00906B98">
        <w:trPr>
          <w:trHeight w:val="2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906B98">
            <w:pPr>
              <w:jc w:val="center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1</w:t>
            </w:r>
          </w:p>
        </w:tc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3</w:t>
            </w: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4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5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6</w:t>
            </w: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6B98" w:rsidRPr="00906B98" w:rsidRDefault="00906B98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7</w:t>
            </w:r>
          </w:p>
        </w:tc>
      </w:tr>
      <w:tr w:rsidR="006721EE" w:rsidRPr="00157C7B" w:rsidTr="00906B98">
        <w:trPr>
          <w:trHeight w:val="259"/>
        </w:trPr>
        <w:tc>
          <w:tcPr>
            <w:tcW w:w="5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6721EE" w:rsidRDefault="006721EE" w:rsidP="00906B98">
            <w:pPr>
              <w:jc w:val="center"/>
              <w:rPr>
                <w:b/>
                <w:sz w:val="19"/>
                <w:szCs w:val="19"/>
                <w:lang w:val="en-US"/>
              </w:rPr>
            </w:pPr>
            <w:r w:rsidRPr="006721EE">
              <w:rPr>
                <w:b/>
                <w:sz w:val="19"/>
                <w:szCs w:val="19"/>
              </w:rPr>
              <w:t>С</w:t>
            </w:r>
            <w:r w:rsidRPr="006721EE">
              <w:rPr>
                <w:b/>
                <w:sz w:val="19"/>
                <w:szCs w:val="19"/>
                <w:vertAlign w:val="subscript"/>
              </w:rPr>
              <w:t>8.</w:t>
            </w:r>
            <w:proofErr w:type="spellStart"/>
            <w:r w:rsidRPr="006721EE">
              <w:rPr>
                <w:b/>
                <w:sz w:val="19"/>
                <w:szCs w:val="19"/>
                <w:vertAlign w:val="subscript"/>
                <w:lang w:val="en-US"/>
              </w:rPr>
              <w:t>i</w:t>
            </w:r>
            <w:proofErr w:type="spellEnd"/>
          </w:p>
        </w:tc>
        <w:tc>
          <w:tcPr>
            <w:tcW w:w="51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21EE" w:rsidRPr="006721EE" w:rsidRDefault="006721EE" w:rsidP="00157C7B">
            <w:pPr>
              <w:jc w:val="center"/>
              <w:rPr>
                <w:b/>
                <w:sz w:val="19"/>
                <w:szCs w:val="19"/>
              </w:rPr>
            </w:pPr>
            <w:r w:rsidRPr="006721EE">
              <w:rPr>
                <w:b/>
                <w:sz w:val="19"/>
                <w:szCs w:val="19"/>
              </w:rPr>
              <w:t>Обеспечение средствами коммерческого учета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157C7B">
            <w:pPr>
              <w:jc w:val="center"/>
              <w:rPr>
                <w:sz w:val="19"/>
                <w:szCs w:val="19"/>
              </w:rPr>
            </w:pPr>
          </w:p>
        </w:tc>
        <w:tc>
          <w:tcPr>
            <w:tcW w:w="20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1EE" w:rsidRPr="00906B98" w:rsidRDefault="006721EE" w:rsidP="00157C7B">
            <w:pPr>
              <w:jc w:val="center"/>
              <w:rPr>
                <w:sz w:val="19"/>
                <w:szCs w:val="19"/>
              </w:rPr>
            </w:pPr>
          </w:p>
        </w:tc>
      </w:tr>
      <w:tr w:rsidR="00955105" w:rsidRPr="00157C7B" w:rsidTr="00E67BD0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906B98" w:rsidRDefault="00955105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8.1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05" w:rsidRPr="00906B98" w:rsidRDefault="00955105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однофазный прямого включения на уровне напряжения 0,4 и ниже без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sz w:val="19"/>
                <w:szCs w:val="19"/>
              </w:rPr>
            </w:pPr>
            <w:r w:rsidRPr="005F6F47">
              <w:rPr>
                <w:sz w:val="19"/>
                <w:szCs w:val="19"/>
              </w:rPr>
              <w:t>руб./кВт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sz w:val="19"/>
                <w:szCs w:val="19"/>
              </w:rPr>
            </w:pPr>
            <w:r w:rsidRPr="005F6F47">
              <w:rPr>
                <w:sz w:val="19"/>
                <w:szCs w:val="19"/>
              </w:rPr>
              <w:t>14 641,53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color w:val="000000"/>
                <w:sz w:val="19"/>
                <w:szCs w:val="19"/>
              </w:rPr>
            </w:pPr>
            <w:r w:rsidRPr="005F6F47">
              <w:rPr>
                <w:color w:val="000000"/>
                <w:sz w:val="19"/>
                <w:szCs w:val="19"/>
              </w:rPr>
              <w:t>17 569,84</w:t>
            </w:r>
          </w:p>
        </w:tc>
      </w:tr>
      <w:tr w:rsidR="00955105" w:rsidRPr="00157C7B" w:rsidTr="00327A59">
        <w:trPr>
          <w:trHeight w:val="276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906B98" w:rsidRDefault="00955105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8.2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05" w:rsidRPr="00906B98" w:rsidRDefault="00955105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трехфазный прямого включения на уровне напряжения 0,4 и ниже без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sz w:val="19"/>
                <w:szCs w:val="19"/>
              </w:rPr>
            </w:pPr>
            <w:r w:rsidRPr="005F6F47">
              <w:rPr>
                <w:sz w:val="19"/>
                <w:szCs w:val="19"/>
              </w:rPr>
              <w:t>руб./кВт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sz w:val="19"/>
                <w:szCs w:val="19"/>
              </w:rPr>
            </w:pPr>
            <w:r w:rsidRPr="005F6F47">
              <w:rPr>
                <w:sz w:val="19"/>
                <w:szCs w:val="19"/>
              </w:rPr>
              <w:t>2 246,83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color w:val="000000"/>
                <w:sz w:val="19"/>
                <w:szCs w:val="19"/>
              </w:rPr>
            </w:pPr>
            <w:r w:rsidRPr="005F6F47">
              <w:rPr>
                <w:color w:val="000000"/>
                <w:sz w:val="19"/>
                <w:szCs w:val="19"/>
              </w:rPr>
              <w:t>2 696,20</w:t>
            </w:r>
          </w:p>
        </w:tc>
      </w:tr>
      <w:tr w:rsidR="00955105" w:rsidRPr="00157C7B" w:rsidTr="00C728A1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906B98" w:rsidRDefault="00955105" w:rsidP="00C4586E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8.3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05" w:rsidRPr="00906B98" w:rsidRDefault="00955105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 xml:space="preserve">Стандартизированная тарифная ставка на обеспечение средствами коммерческого учета электрической энергии (мощности) - трехфазный полукосвенного включения на уровне напряжения 0,4 и ниже с </w:t>
            </w:r>
            <w:proofErr w:type="gramStart"/>
            <w:r w:rsidRPr="00906B98">
              <w:rPr>
                <w:sz w:val="19"/>
                <w:szCs w:val="19"/>
              </w:rPr>
              <w:t>ТТ</w:t>
            </w:r>
            <w:proofErr w:type="gramEnd"/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sz w:val="19"/>
                <w:szCs w:val="19"/>
              </w:rPr>
            </w:pPr>
            <w:r w:rsidRPr="005F6F47">
              <w:rPr>
                <w:sz w:val="19"/>
                <w:szCs w:val="19"/>
              </w:rPr>
              <w:t>руб./кВт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sz w:val="19"/>
                <w:szCs w:val="19"/>
              </w:rPr>
            </w:pPr>
            <w:r w:rsidRPr="005F6F47">
              <w:rPr>
                <w:sz w:val="19"/>
                <w:szCs w:val="19"/>
              </w:rPr>
              <w:t>539,07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color w:val="000000"/>
                <w:sz w:val="19"/>
                <w:szCs w:val="19"/>
              </w:rPr>
            </w:pPr>
            <w:r w:rsidRPr="005F6F47">
              <w:rPr>
                <w:color w:val="000000"/>
                <w:sz w:val="19"/>
                <w:szCs w:val="19"/>
              </w:rPr>
              <w:t>646,88</w:t>
            </w:r>
          </w:p>
        </w:tc>
      </w:tr>
      <w:tr w:rsidR="00955105" w:rsidRPr="00157C7B" w:rsidTr="00A46EC6">
        <w:trPr>
          <w:trHeight w:val="480"/>
        </w:trPr>
        <w:tc>
          <w:tcPr>
            <w:tcW w:w="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906B98" w:rsidRDefault="00955105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</w:t>
            </w:r>
            <w:r w:rsidRPr="00906B98">
              <w:rPr>
                <w:sz w:val="19"/>
                <w:szCs w:val="19"/>
                <w:vertAlign w:val="subscript"/>
              </w:rPr>
              <w:t>8.4</w:t>
            </w:r>
          </w:p>
        </w:tc>
        <w:tc>
          <w:tcPr>
            <w:tcW w:w="51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55105" w:rsidRPr="00906B98" w:rsidRDefault="00955105" w:rsidP="00157C7B">
            <w:pPr>
              <w:jc w:val="center"/>
              <w:rPr>
                <w:sz w:val="19"/>
                <w:szCs w:val="19"/>
              </w:rPr>
            </w:pPr>
            <w:r w:rsidRPr="00906B98">
              <w:rPr>
                <w:sz w:val="19"/>
                <w:szCs w:val="19"/>
              </w:rPr>
              <w:t>Стандартизированная тарифная ставка на обеспечение средствами коммерческого учета электрической энергии (мощности) - трехфазный прямого включения на уровне напряжения 1-20 кВ</w:t>
            </w: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sz w:val="19"/>
                <w:szCs w:val="19"/>
              </w:rPr>
            </w:pPr>
            <w:r w:rsidRPr="005F6F47">
              <w:rPr>
                <w:sz w:val="19"/>
                <w:szCs w:val="19"/>
              </w:rPr>
              <w:t>руб./кВт</w:t>
            </w:r>
          </w:p>
        </w:tc>
        <w:tc>
          <w:tcPr>
            <w:tcW w:w="4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sz w:val="19"/>
                <w:szCs w:val="19"/>
              </w:rPr>
            </w:pPr>
            <w:r w:rsidRPr="005F6F47">
              <w:rPr>
                <w:sz w:val="19"/>
                <w:szCs w:val="19"/>
              </w:rPr>
              <w:t>1 086,16</w:t>
            </w:r>
          </w:p>
        </w:tc>
        <w:tc>
          <w:tcPr>
            <w:tcW w:w="45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55105" w:rsidRPr="005F6F47" w:rsidRDefault="00955105">
            <w:pPr>
              <w:jc w:val="center"/>
              <w:rPr>
                <w:color w:val="000000"/>
                <w:sz w:val="19"/>
                <w:szCs w:val="19"/>
              </w:rPr>
            </w:pPr>
            <w:r w:rsidRPr="005F6F47">
              <w:rPr>
                <w:color w:val="000000"/>
                <w:sz w:val="19"/>
                <w:szCs w:val="19"/>
              </w:rPr>
              <w:t>1 303,39</w:t>
            </w:r>
          </w:p>
        </w:tc>
      </w:tr>
    </w:tbl>
    <w:p w:rsidR="00D871A4" w:rsidRPr="00D871A4" w:rsidRDefault="00D871A4" w:rsidP="00CC47C4">
      <w:pPr>
        <w:rPr>
          <w:sz w:val="6"/>
          <w:szCs w:val="24"/>
        </w:rPr>
      </w:pPr>
    </w:p>
    <w:p w:rsidR="00CC47C4" w:rsidRDefault="00CC47C4" w:rsidP="00CC47C4">
      <w:pPr>
        <w:rPr>
          <w:sz w:val="22"/>
          <w:szCs w:val="24"/>
        </w:rPr>
      </w:pPr>
      <w:r>
        <w:rPr>
          <w:sz w:val="22"/>
          <w:szCs w:val="24"/>
        </w:rPr>
        <w:t>Примечание:</w:t>
      </w:r>
    </w:p>
    <w:p w:rsidR="00CC47C4" w:rsidRPr="00157C7B" w:rsidRDefault="00CC47C4" w:rsidP="005F6F47">
      <w:pPr>
        <w:rPr>
          <w:b/>
          <w:sz w:val="24"/>
          <w:szCs w:val="24"/>
        </w:rPr>
      </w:pPr>
      <w:r>
        <w:rPr>
          <w:sz w:val="22"/>
          <w:szCs w:val="24"/>
        </w:rPr>
        <w:t xml:space="preserve">Размер платы для каждого присоединения рассчитывается сетевой организацией в соответствии с формулами, указанными в приложении </w:t>
      </w:r>
      <w:r w:rsidR="00EF752B">
        <w:rPr>
          <w:sz w:val="22"/>
          <w:szCs w:val="24"/>
        </w:rPr>
        <w:t>6</w:t>
      </w:r>
      <w:r>
        <w:rPr>
          <w:sz w:val="22"/>
          <w:szCs w:val="24"/>
        </w:rPr>
        <w:t xml:space="preserve"> к приказу.</w:t>
      </w:r>
    </w:p>
    <w:sectPr w:rsidR="00CC47C4" w:rsidRPr="00157C7B" w:rsidSect="00D871A4">
      <w:pgSz w:w="16838" w:h="11906" w:orient="landscape"/>
      <w:pgMar w:top="284" w:right="1134" w:bottom="426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fixed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74081"/>
    <w:rsid w:val="00014D4F"/>
    <w:rsid w:val="00026231"/>
    <w:rsid w:val="000C4E73"/>
    <w:rsid w:val="000F43D8"/>
    <w:rsid w:val="00157C7B"/>
    <w:rsid w:val="001A58A0"/>
    <w:rsid w:val="00206170"/>
    <w:rsid w:val="00272FDF"/>
    <w:rsid w:val="00297EF1"/>
    <w:rsid w:val="00335E54"/>
    <w:rsid w:val="003A00A7"/>
    <w:rsid w:val="003E5D89"/>
    <w:rsid w:val="00410FAB"/>
    <w:rsid w:val="004F2B29"/>
    <w:rsid w:val="005136BC"/>
    <w:rsid w:val="005B0CD8"/>
    <w:rsid w:val="005F6F47"/>
    <w:rsid w:val="00612EBA"/>
    <w:rsid w:val="006721EE"/>
    <w:rsid w:val="006E6FC1"/>
    <w:rsid w:val="006F31FE"/>
    <w:rsid w:val="00726566"/>
    <w:rsid w:val="007650B5"/>
    <w:rsid w:val="007B2E14"/>
    <w:rsid w:val="007F295A"/>
    <w:rsid w:val="008002A1"/>
    <w:rsid w:val="00812684"/>
    <w:rsid w:val="00863C29"/>
    <w:rsid w:val="0089193A"/>
    <w:rsid w:val="008C0300"/>
    <w:rsid w:val="008C55EA"/>
    <w:rsid w:val="00906B98"/>
    <w:rsid w:val="00955105"/>
    <w:rsid w:val="00961A10"/>
    <w:rsid w:val="00970978"/>
    <w:rsid w:val="0097375A"/>
    <w:rsid w:val="009A3257"/>
    <w:rsid w:val="009C5C70"/>
    <w:rsid w:val="00A2640D"/>
    <w:rsid w:val="00A74081"/>
    <w:rsid w:val="00BC4646"/>
    <w:rsid w:val="00BF2FA4"/>
    <w:rsid w:val="00C20413"/>
    <w:rsid w:val="00C2431E"/>
    <w:rsid w:val="00CC47C4"/>
    <w:rsid w:val="00CF64AF"/>
    <w:rsid w:val="00D12289"/>
    <w:rsid w:val="00D871A4"/>
    <w:rsid w:val="00DA60C0"/>
    <w:rsid w:val="00EB19CD"/>
    <w:rsid w:val="00EC301A"/>
    <w:rsid w:val="00ED44F6"/>
    <w:rsid w:val="00EE0E04"/>
    <w:rsid w:val="00EF752B"/>
    <w:rsid w:val="00F31C75"/>
    <w:rsid w:val="00F37DAD"/>
    <w:rsid w:val="00F5349C"/>
    <w:rsid w:val="00F96904"/>
    <w:rsid w:val="00FE38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0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A74081"/>
    <w:pPr>
      <w:widowControl w:val="0"/>
      <w:spacing w:after="0" w:line="240" w:lineRule="auto"/>
    </w:pPr>
    <w:rPr>
      <w:rFonts w:ascii="Consultant" w:eastAsia="Times New Roman" w:hAnsi="Consultant" w:cs="Times New Roman"/>
      <w:snapToGrid w:val="0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7408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08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410FAB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815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40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Минстрой УР</Company>
  <LinksUpToDate>false</LinksUpToDate>
  <CharactersWithSpaces>2463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Orlova_NP</dc:creator>
  <cp:keywords/>
  <dc:description/>
  <cp:lastModifiedBy>Shavrina</cp:lastModifiedBy>
  <cp:revision>39</cp:revision>
  <cp:lastPrinted>2020-08-05T06:07:00Z</cp:lastPrinted>
  <dcterms:created xsi:type="dcterms:W3CDTF">2018-12-12T07:27:00Z</dcterms:created>
  <dcterms:modified xsi:type="dcterms:W3CDTF">2020-08-06T05:28:00Z</dcterms:modified>
</cp:coreProperties>
</file>